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7E2DCE" w:rsidTr="008D4FC0">
        <w:trPr>
          <w:trHeight w:val="428"/>
        </w:trPr>
        <w:tc>
          <w:tcPr>
            <w:tcW w:w="1608" w:type="pct"/>
          </w:tcPr>
          <w:p w:rsidR="008D4FC0" w:rsidRPr="007E2DCE" w:rsidRDefault="007E2DCE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7E2DCE">
              <w:rPr>
                <w:b/>
                <w:noProof/>
                <w:sz w:val="28"/>
                <w:szCs w:val="28"/>
              </w:rPr>
              <w:t>16.07.2026</w:t>
            </w:r>
          </w:p>
        </w:tc>
        <w:tc>
          <w:tcPr>
            <w:tcW w:w="1696" w:type="pct"/>
            <w:gridSpan w:val="2"/>
          </w:tcPr>
          <w:p w:rsidR="008D4FC0" w:rsidRPr="007E2DCE" w:rsidRDefault="007E2DC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7E2DCE">
              <w:rPr>
                <w:b/>
                <w:sz w:val="28"/>
                <w:szCs w:val="28"/>
              </w:rPr>
              <w:t>№ 953</w:t>
            </w:r>
          </w:p>
        </w:tc>
        <w:tc>
          <w:tcPr>
            <w:tcW w:w="1696" w:type="pct"/>
          </w:tcPr>
          <w:p w:rsidR="008D4FC0" w:rsidRPr="007E2DCE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7E2DC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7E2DC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9B6F67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>Об утверждении отчета об исполнении бюджета Октябрьского района за 1 полугодие 2026 года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B6F67" w:rsidRDefault="00BF412F">
      <w:pPr>
        <w:jc w:val="center"/>
        <w:rPr>
          <w:sz w:val="28"/>
        </w:rPr>
      </w:pPr>
    </w:p>
    <w:p w:rsidR="009B6F67" w:rsidRDefault="009B6F67" w:rsidP="009B6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264.2 Бюджетного кодекса Российской Федерации, решением Собрания депутатов Октябрьского района от 10.09.2015 года № 293 «Об утверждении Положения о бюджетном процессе в Октябрьском районе», руководствуясь частью </w:t>
      </w:r>
      <w:r w:rsidR="00492130">
        <w:rPr>
          <w:sz w:val="28"/>
          <w:szCs w:val="28"/>
        </w:rPr>
        <w:t>8</w:t>
      </w:r>
      <w:r>
        <w:rPr>
          <w:sz w:val="28"/>
          <w:szCs w:val="28"/>
        </w:rPr>
        <w:t xml:space="preserve">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bookmarkStart w:id="2" w:name="_GoBack"/>
      <w:bookmarkEnd w:id="2"/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54DAB" w:rsidRDefault="008D4FC0" w:rsidP="008D4FC0">
      <w:pPr>
        <w:jc w:val="center"/>
        <w:rPr>
          <w:sz w:val="28"/>
        </w:rPr>
      </w:pPr>
    </w:p>
    <w:p w:rsidR="009B6F67" w:rsidRDefault="009B6F67" w:rsidP="009B6F67">
      <w:pPr>
        <w:jc w:val="center"/>
        <w:rPr>
          <w:sz w:val="28"/>
        </w:rPr>
      </w:pPr>
    </w:p>
    <w:p w:rsidR="009B6F67" w:rsidRDefault="009B6F67" w:rsidP="009B6F6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отчет об исполнении бюджета Октябрьского района за 1 полугодие  2026 года по доходам в сумме 1888867,8 тыс. рублей, по расходам в сумме 1706748,8 тыс. рублей с превышением доходов над расходами (профицит бюджета района) в сумме 182119,0 тыс. рублей согласно приложению к настоящему постановлению.</w:t>
      </w:r>
    </w:p>
    <w:p w:rsidR="009B6F67" w:rsidRDefault="009B6F67" w:rsidP="009B6F6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Октябрьского района за 1 полугодие 2026 года является финансово-экономическое управление Администрации Октябрьского района Ростовской области.</w:t>
      </w:r>
    </w:p>
    <w:p w:rsidR="009B6F67" w:rsidRDefault="009B6F67" w:rsidP="009B6F6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 Финансово-экономическому управлению Администрации Октябрьского района Ростовской области (Ястребову М.С.) направить отчет об исполнении бюджета Октябрьского района за 1 полугодие 2026 года в Собрание депутатов Октябрьского района.</w:t>
      </w:r>
    </w:p>
    <w:p w:rsidR="009B6F67" w:rsidRDefault="009B6F67" w:rsidP="009B6F6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9B6F67" w:rsidRDefault="009B6F67" w:rsidP="009B6F67">
      <w:pPr>
        <w:ind w:firstLine="700"/>
        <w:jc w:val="both"/>
        <w:rPr>
          <w:sz w:val="28"/>
          <w:szCs w:val="28"/>
        </w:rPr>
      </w:pPr>
    </w:p>
    <w:p w:rsidR="009B6F67" w:rsidRDefault="009B6F67" w:rsidP="009B6F6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 начальника финансово-экономического управления Администрации Октябрьского района Ястребова М.С.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E2DCE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E2DCE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9B6F67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FB6B1E" w:rsidRPr="009B6F6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9B6F6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p w:rsidR="009B6F67" w:rsidRDefault="009B6F67" w:rsidP="009B6F67">
      <w:pPr>
        <w:ind w:left="709"/>
        <w:rPr>
          <w:sz w:val="20"/>
        </w:rPr>
      </w:pPr>
    </w:p>
    <w:p w:rsidR="009B6F67" w:rsidRDefault="009B6F67" w:rsidP="009B6F67">
      <w:pPr>
        <w:pStyle w:val="10"/>
        <w:spacing w:line="230" w:lineRule="auto"/>
        <w:ind w:left="7080" w:firstLine="709"/>
        <w:jc w:val="right"/>
        <w:rPr>
          <w:b w:val="0"/>
          <w:szCs w:val="28"/>
        </w:rPr>
      </w:pPr>
      <w:r>
        <w:rPr>
          <w:b w:val="0"/>
          <w:szCs w:val="28"/>
        </w:rPr>
        <w:t>Приложение</w:t>
      </w:r>
    </w:p>
    <w:p w:rsidR="009B6F67" w:rsidRDefault="009B6F67" w:rsidP="009B6F6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9B6F67" w:rsidRDefault="009B6F67" w:rsidP="009B6F6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9B6F67" w:rsidRDefault="009B6F67" w:rsidP="009B6F6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9B6F67" w:rsidRDefault="009B6F67" w:rsidP="009B6F6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E2DCE">
        <w:rPr>
          <w:sz w:val="28"/>
          <w:szCs w:val="28"/>
        </w:rPr>
        <w:t>16.07.2026</w:t>
      </w:r>
      <w:r>
        <w:rPr>
          <w:sz w:val="28"/>
          <w:szCs w:val="28"/>
        </w:rPr>
        <w:t xml:space="preserve"> № </w:t>
      </w:r>
      <w:r w:rsidR="007E2DCE">
        <w:rPr>
          <w:sz w:val="28"/>
          <w:szCs w:val="28"/>
        </w:rPr>
        <w:t>953</w:t>
      </w:r>
    </w:p>
    <w:p w:rsidR="009B6F67" w:rsidRDefault="009B6F67" w:rsidP="009B6F67">
      <w:pPr>
        <w:pStyle w:val="10"/>
        <w:spacing w:line="230" w:lineRule="auto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ОТЧЕТ</w:t>
      </w:r>
    </w:p>
    <w:p w:rsidR="009B6F67" w:rsidRDefault="009B6F67" w:rsidP="009B6F67">
      <w:pPr>
        <w:pStyle w:val="10"/>
        <w:spacing w:line="230" w:lineRule="auto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 ходе исполнении бюджета Октябрьского района за 1 полугодие 2026 года</w:t>
      </w:r>
    </w:p>
    <w:p w:rsidR="009B6F67" w:rsidRDefault="009B6F67" w:rsidP="009B6F67">
      <w:pPr>
        <w:ind w:firstLine="709"/>
      </w:pPr>
    </w:p>
    <w:p w:rsidR="009B6F67" w:rsidRDefault="009B6F67" w:rsidP="009B6F67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бюджета Октябрьского района (далее-бюджета района) за 1 полугодие 2026 года составило по доходам в сумме 1888867,8 </w:t>
      </w:r>
      <w:r>
        <w:rPr>
          <w:sz w:val="28"/>
        </w:rPr>
        <w:t>тыс. рублей</w:t>
      </w:r>
      <w:r>
        <w:rPr>
          <w:sz w:val="28"/>
          <w:szCs w:val="28"/>
        </w:rPr>
        <w:t xml:space="preserve"> или 51,5 процента к годовому плану и по расходам в сумме 1706748,8 </w:t>
      </w:r>
      <w:r>
        <w:rPr>
          <w:sz w:val="28"/>
        </w:rPr>
        <w:t>тыс. рублей</w:t>
      </w:r>
      <w:r>
        <w:rPr>
          <w:sz w:val="28"/>
          <w:szCs w:val="28"/>
        </w:rPr>
        <w:t xml:space="preserve"> или 45,3 процентов. Профицит по итогам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1 полугодия 2026 года </w:t>
      </w:r>
      <w:r>
        <w:rPr>
          <w:sz w:val="28"/>
        </w:rPr>
        <w:t xml:space="preserve">составил 182119,0 тыс. рублей. </w:t>
      </w:r>
    </w:p>
    <w:p w:rsidR="009B6F67" w:rsidRDefault="009B6F67" w:rsidP="009B6F67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бюджета района за 1 полугодие 2026 года прилагаются.</w:t>
      </w:r>
    </w:p>
    <w:p w:rsidR="009B6F67" w:rsidRDefault="009B6F67" w:rsidP="009B6F67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Налоговые и неналоговые доходы бюджета района исполнены в сумме 615730,7 </w:t>
      </w:r>
      <w:r>
        <w:rPr>
          <w:sz w:val="28"/>
        </w:rPr>
        <w:t xml:space="preserve">тыс. рублей </w:t>
      </w:r>
      <w:r>
        <w:rPr>
          <w:sz w:val="28"/>
          <w:szCs w:val="28"/>
        </w:rPr>
        <w:t>или 52,9 процент</w:t>
      </w:r>
      <w:r w:rsidR="00B54DAB">
        <w:rPr>
          <w:sz w:val="28"/>
          <w:szCs w:val="28"/>
        </w:rPr>
        <w:t>ов</w:t>
      </w:r>
      <w:r>
        <w:rPr>
          <w:sz w:val="28"/>
          <w:szCs w:val="28"/>
        </w:rPr>
        <w:t xml:space="preserve"> к годовым плановым назначениям. В сравнении с соответствующим периодом прошлого года объем собственных доходов бюджета района увеличился на 1780</w:t>
      </w:r>
      <w:r w:rsidR="006E6635">
        <w:rPr>
          <w:sz w:val="28"/>
          <w:szCs w:val="28"/>
        </w:rPr>
        <w:t>77</w:t>
      </w:r>
      <w:r>
        <w:rPr>
          <w:sz w:val="28"/>
          <w:szCs w:val="28"/>
        </w:rPr>
        <w:t xml:space="preserve">,9 </w:t>
      </w:r>
      <w:r>
        <w:rPr>
          <w:sz w:val="28"/>
        </w:rPr>
        <w:t>тыс. рублей или на 40,7 процентов. Это обусловлено увеличением поступлений по основному доходному источнику налогу на доходы физических лиц на 197911,4 тыс. рублей, который по прежнему занимает</w:t>
      </w:r>
      <w:r>
        <w:rPr>
          <w:sz w:val="28"/>
          <w:szCs w:val="28"/>
        </w:rPr>
        <w:t xml:space="preserve"> наибольший удельный вес в структуре налоговых и неналоговых доходов бюджета – 459352,2 тыс. рублей или </w:t>
      </w:r>
      <w:r>
        <w:rPr>
          <w:color w:val="auto"/>
          <w:sz w:val="28"/>
          <w:szCs w:val="28"/>
        </w:rPr>
        <w:t>74,6 процент</w:t>
      </w:r>
      <w:r w:rsidR="00B54DAB"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 xml:space="preserve">, </w:t>
      </w:r>
      <w:r>
        <w:rPr>
          <w:sz w:val="28"/>
        </w:rPr>
        <w:t xml:space="preserve">в связи с увеличением минимального размера оплаты в текущем финансовом году и ростом среднемесячной заработной платы. Поступления по другим налоговым источникам также увеличились: по транспортному налогу на 8259,4 тыс. рублей и составил 28451,8 тыс. рублей. Неналоговые доходы уменьшились относительно аналогичного периода 2025 года на 25444,9 тыс. рублей и составили 45609,6 тыс. рублей. По налогам на совокупный доход уменьшились на 7908,7 тыс. рублей  и составили 42419,3 тыс. рублей. </w:t>
      </w:r>
    </w:p>
    <w:p w:rsidR="009B6F67" w:rsidRDefault="009B6F67" w:rsidP="009B6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Объём безвозмездных поступлений в бюджет района за 1 полугодие 2026 года составил </w:t>
      </w:r>
      <w:r w:rsidR="006E6635">
        <w:rPr>
          <w:sz w:val="28"/>
          <w:szCs w:val="28"/>
        </w:rPr>
        <w:t>1273137,1</w:t>
      </w:r>
      <w:r>
        <w:rPr>
          <w:sz w:val="28"/>
          <w:szCs w:val="28"/>
        </w:rPr>
        <w:t xml:space="preserve"> тыс. рублей, что меньше аналогичного периода прошлого года на </w:t>
      </w:r>
      <w:r w:rsidR="006E6635">
        <w:rPr>
          <w:sz w:val="28"/>
          <w:szCs w:val="28"/>
        </w:rPr>
        <w:t>86209,2</w:t>
      </w:r>
      <w:r>
        <w:rPr>
          <w:sz w:val="28"/>
          <w:szCs w:val="28"/>
        </w:rPr>
        <w:t xml:space="preserve"> тыс. рублей.</w:t>
      </w:r>
    </w:p>
    <w:p w:rsidR="009B6F67" w:rsidRDefault="009B6F67" w:rsidP="009B6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по сравнению с аналогичным периодом прошлого года увеличились на 95424,7 тыс. рублей или на 5,9 процентов. Бюджетная политика в сфере расходов бюджета района была направлена на решение социальных и экономических задач района. Приоритетом являлось обеспечение населения бюджетными услугами отраслей социальной сферы.</w:t>
      </w:r>
    </w:p>
    <w:p w:rsidR="009B6F67" w:rsidRDefault="009B6F67" w:rsidP="009B6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финансирование отраслей социальной сферы, включая расходы на финансовое обеспечение муниципального задания подведомственным учреждениям, за 1 полугодие 2026 года направлено 1375568,8 тыс. рублей, что составляет 49,4 процента к годовым плановым назначениям.</w:t>
      </w:r>
    </w:p>
    <w:p w:rsidR="009B6F67" w:rsidRDefault="009B6F67" w:rsidP="009B6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обеспечение национальной безопасности и правоохранительной деятельности направлено 14663,1 тыс. рублей, что составляет 48,1 процент к годовым плановым назначениям.</w:t>
      </w:r>
    </w:p>
    <w:p w:rsidR="009B6F67" w:rsidRDefault="009B6F67" w:rsidP="009B6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сельское, дорожное хозяйство, а также на развитие других отраслей экономики направлено 93114,3 тыс. рублей, что составляет 29,0 процентов к годовым плановым назначениям.</w:t>
      </w:r>
    </w:p>
    <w:p w:rsidR="009B6F67" w:rsidRDefault="009B6F67" w:rsidP="009B6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жилищно-коммунальное хозяйство направлено 23114,0 тыс. рублей, что составляет 16,9 процентов к годовым плановым назначениям.</w:t>
      </w:r>
    </w:p>
    <w:p w:rsidR="009B6F67" w:rsidRDefault="009B6F67" w:rsidP="009B6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межбюджетные трансферты в бюджеты поселений предоставлены в сумме 61014,7 тыс. рублей. Дотации на выравнивание бюджетной обеспеченности составили 67551,6 тыс. рублей.</w:t>
      </w:r>
    </w:p>
    <w:p w:rsidR="009B6F67" w:rsidRDefault="009B6F67" w:rsidP="009B6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муниципальных программ из бюджета района за 1 полугодие 2026 года направлено 1659268,2 тыс. рублей, что составляет 49,4 процента к годовым плановым назначениям, или 97,2 процента всех расходов бюджета района.</w:t>
      </w:r>
    </w:p>
    <w:p w:rsidR="009B6F67" w:rsidRDefault="009B6F67" w:rsidP="009B6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долг у Октябрьского района отсутствует.</w:t>
      </w:r>
    </w:p>
    <w:p w:rsidR="009B6F67" w:rsidRDefault="009B6F67" w:rsidP="009B6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Просроченная задолженность по обязательствам бюджета Октябрьского района отсутствует.</w:t>
      </w:r>
    </w:p>
    <w:p w:rsidR="009B6F67" w:rsidRDefault="009B6F67" w:rsidP="009B6F67">
      <w:pPr>
        <w:spacing w:line="230" w:lineRule="auto"/>
        <w:ind w:firstLine="709"/>
        <w:jc w:val="both"/>
        <w:rPr>
          <w:sz w:val="28"/>
        </w:rPr>
      </w:pPr>
    </w:p>
    <w:p w:rsidR="009B6F67" w:rsidRDefault="009B6F67" w:rsidP="007E2DCE">
      <w:pPr>
        <w:rPr>
          <w:sz w:val="28"/>
        </w:rPr>
      </w:pPr>
      <w:r>
        <w:rPr>
          <w:sz w:val="28"/>
        </w:rPr>
        <w:t>Управляющий делами</w:t>
      </w:r>
      <w:r>
        <w:rPr>
          <w:sz w:val="28"/>
        </w:rPr>
        <w:tab/>
      </w:r>
    </w:p>
    <w:p w:rsidR="009B6F67" w:rsidRDefault="009B6F67" w:rsidP="007E2DCE">
      <w:pPr>
        <w:rPr>
          <w:sz w:val="28"/>
        </w:rPr>
      </w:pPr>
      <w:r>
        <w:rPr>
          <w:sz w:val="28"/>
        </w:rPr>
        <w:t xml:space="preserve">Администрации Октябрьского района               </w:t>
      </w:r>
      <w:r w:rsidR="007E2DCE">
        <w:rPr>
          <w:sz w:val="28"/>
        </w:rPr>
        <w:tab/>
      </w:r>
      <w:r w:rsidR="007E2DCE">
        <w:rPr>
          <w:sz w:val="28"/>
        </w:rPr>
        <w:tab/>
      </w:r>
      <w:r>
        <w:rPr>
          <w:sz w:val="28"/>
        </w:rPr>
        <w:t xml:space="preserve">                Н.В. Сорочинская</w:t>
      </w:r>
    </w:p>
    <w:p w:rsidR="009B6F67" w:rsidRDefault="009B6F67" w:rsidP="009B6F67">
      <w:pPr>
        <w:ind w:firstLine="709"/>
      </w:pPr>
      <w:r>
        <w:rPr>
          <w:color w:val="auto"/>
        </w:rPr>
        <w:br w:type="page"/>
      </w:r>
      <w:bookmarkStart w:id="6" w:name="RANGE!A1:C157"/>
    </w:p>
    <w:tbl>
      <w:tblPr>
        <w:tblW w:w="10395" w:type="dxa"/>
        <w:tblInd w:w="-83" w:type="dxa"/>
        <w:tblLayout w:type="fixed"/>
        <w:tblLook w:val="04A0" w:firstRow="1" w:lastRow="0" w:firstColumn="1" w:lastColumn="0" w:noHBand="0" w:noVBand="1"/>
      </w:tblPr>
      <w:tblGrid>
        <w:gridCol w:w="175"/>
        <w:gridCol w:w="6393"/>
        <w:gridCol w:w="1465"/>
        <w:gridCol w:w="520"/>
        <w:gridCol w:w="1842"/>
      </w:tblGrid>
      <w:tr w:rsidR="009B6F67" w:rsidTr="009B6F67">
        <w:trPr>
          <w:trHeight w:val="255"/>
        </w:trPr>
        <w:tc>
          <w:tcPr>
            <w:tcW w:w="10395" w:type="dxa"/>
            <w:gridSpan w:val="5"/>
            <w:noWrap/>
            <w:hideMark/>
          </w:tcPr>
          <w:p w:rsidR="009B6F67" w:rsidRDefault="009B6F67">
            <w:pPr>
              <w:ind w:firstLine="709"/>
              <w:jc w:val="right"/>
              <w:rPr>
                <w:sz w:val="28"/>
                <w:szCs w:val="28"/>
              </w:rPr>
            </w:pPr>
            <w:r>
              <w:lastRenderedPageBreak/>
              <w:br w:type="page"/>
            </w:r>
            <w:r>
              <w:rPr>
                <w:sz w:val="28"/>
                <w:szCs w:val="28"/>
              </w:rPr>
              <w:t>Приложение</w:t>
            </w:r>
            <w:bookmarkEnd w:id="6"/>
            <w:r>
              <w:rPr>
                <w:sz w:val="28"/>
                <w:szCs w:val="28"/>
              </w:rPr>
              <w:t xml:space="preserve"> </w:t>
            </w:r>
          </w:p>
        </w:tc>
      </w:tr>
      <w:tr w:rsidR="009B6F67" w:rsidTr="009B6F67">
        <w:trPr>
          <w:trHeight w:val="255"/>
        </w:trPr>
        <w:tc>
          <w:tcPr>
            <w:tcW w:w="10395" w:type="dxa"/>
            <w:gridSpan w:val="5"/>
            <w:noWrap/>
            <w:hideMark/>
          </w:tcPr>
          <w:p w:rsidR="009B6F67" w:rsidRDefault="009B6F67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отчету о ходе исполнения</w:t>
            </w:r>
          </w:p>
        </w:tc>
      </w:tr>
      <w:tr w:rsidR="009B6F67" w:rsidTr="009B6F67">
        <w:trPr>
          <w:trHeight w:val="267"/>
        </w:trPr>
        <w:tc>
          <w:tcPr>
            <w:tcW w:w="10395" w:type="dxa"/>
            <w:gridSpan w:val="5"/>
            <w:noWrap/>
            <w:hideMark/>
          </w:tcPr>
          <w:p w:rsidR="009B6F67" w:rsidRDefault="009B6F67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бюджета Октябрьского района</w:t>
            </w:r>
          </w:p>
          <w:p w:rsidR="009B6F67" w:rsidRDefault="009B6F67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1 полугодие 2026 года</w:t>
            </w:r>
          </w:p>
        </w:tc>
      </w:tr>
      <w:tr w:rsidR="009B6F67" w:rsidTr="009B6F67">
        <w:trPr>
          <w:gridAfter w:val="2"/>
          <w:wAfter w:w="2362" w:type="dxa"/>
          <w:trHeight w:val="255"/>
        </w:trPr>
        <w:tc>
          <w:tcPr>
            <w:tcW w:w="8033" w:type="dxa"/>
            <w:gridSpan w:val="3"/>
            <w:noWrap/>
          </w:tcPr>
          <w:p w:rsidR="009B6F67" w:rsidRDefault="009B6F67">
            <w:pPr>
              <w:ind w:firstLine="709"/>
              <w:jc w:val="right"/>
            </w:pPr>
          </w:p>
        </w:tc>
      </w:tr>
      <w:tr w:rsidR="009B6F67" w:rsidTr="009B6F67">
        <w:trPr>
          <w:gridAfter w:val="2"/>
          <w:wAfter w:w="2362" w:type="dxa"/>
          <w:trHeight w:val="315"/>
        </w:trPr>
        <w:tc>
          <w:tcPr>
            <w:tcW w:w="8033" w:type="dxa"/>
            <w:gridSpan w:val="3"/>
            <w:noWrap/>
            <w:vAlign w:val="bottom"/>
          </w:tcPr>
          <w:p w:rsidR="009B6F67" w:rsidRDefault="009B6F67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9B6F67" w:rsidRDefault="009B6F67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</w:tr>
      <w:tr w:rsidR="009B6F67" w:rsidTr="009B6F67">
        <w:trPr>
          <w:gridAfter w:val="2"/>
          <w:wAfter w:w="2362" w:type="dxa"/>
          <w:trHeight w:val="315"/>
        </w:trPr>
        <w:tc>
          <w:tcPr>
            <w:tcW w:w="8033" w:type="dxa"/>
            <w:gridSpan w:val="3"/>
            <w:noWrap/>
            <w:vAlign w:val="bottom"/>
          </w:tcPr>
          <w:p w:rsidR="009B6F67" w:rsidRDefault="009B6F67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района за 1 полугодие 2026 года </w:t>
            </w:r>
          </w:p>
          <w:p w:rsidR="009B6F67" w:rsidRDefault="009B6F67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9B6F67" w:rsidTr="009B6F67">
        <w:trPr>
          <w:gridBefore w:val="1"/>
          <w:wBefore w:w="175" w:type="dxa"/>
          <w:trHeight w:val="1260"/>
        </w:trPr>
        <w:tc>
          <w:tcPr>
            <w:tcW w:w="6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F67" w:rsidRDefault="009B6F6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F67" w:rsidRDefault="009B6F67" w:rsidP="0093544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Утвержденные бюджетные назначения на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F67" w:rsidRDefault="009B6F67" w:rsidP="0093544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Исполнено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F67" w:rsidRDefault="009B6F67">
            <w:pPr>
              <w:rPr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F67" w:rsidRDefault="009B6F6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(тыс. рублей)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F67" w:rsidRDefault="009B6F6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(тыс. рублей)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Доходы бюджета - всего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3 667 034,1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1 888 867,8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НАЛОГОВЫЕ И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1 164 673,5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615 730,7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НАЛОГИ НА ПРИБЫЛЬ,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917 955,1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459 352,2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Налог на доходы физических лиц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917 955,1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459 352,2</w:t>
            </w:r>
          </w:p>
        </w:tc>
      </w:tr>
      <w:tr w:rsidR="009B6F67" w:rsidTr="009B6F67">
        <w:trPr>
          <w:gridBefore w:val="1"/>
          <w:wBefore w:w="175" w:type="dxa"/>
          <w:trHeight w:val="94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58 697,8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26 066,0</w:t>
            </w:r>
          </w:p>
        </w:tc>
      </w:tr>
      <w:tr w:rsidR="009B6F67" w:rsidTr="009B6F67">
        <w:trPr>
          <w:gridBefore w:val="1"/>
          <w:wBefore w:w="175" w:type="dxa"/>
          <w:trHeight w:val="664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58 697,8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26 066,0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НАЛОГИ НА СОВОКУПНЫЙ ДОХОД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46 784,0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42 419,3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27 700,0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14 854,0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Единый налог на вмененный доход для отдельных видов деятельности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4,0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Единый сельскохозяйственный налог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13 104,0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22 749,5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5 980,0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4 811,8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НАЛОГИ НА ИМУЩЕСТВО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73 999,0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28 451,8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Транспортный налог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73 999,0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28 451,8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ГОСУДАРСТВЕННАЯ ПОШЛИНА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24 270,4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13 831,8</w:t>
            </w:r>
          </w:p>
        </w:tc>
      </w:tr>
      <w:tr w:rsidR="009B6F67" w:rsidTr="009B6F67">
        <w:trPr>
          <w:gridBefore w:val="1"/>
          <w:wBefore w:w="175" w:type="dxa"/>
          <w:trHeight w:val="94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21 840,0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12 602,5</w:t>
            </w:r>
          </w:p>
        </w:tc>
      </w:tr>
      <w:tr w:rsidR="009B6F67" w:rsidTr="009B6F67">
        <w:trPr>
          <w:gridBefore w:val="1"/>
          <w:wBefore w:w="175" w:type="dxa"/>
          <w:trHeight w:val="157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33,8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8,5</w:t>
            </w:r>
          </w:p>
        </w:tc>
      </w:tr>
      <w:tr w:rsidR="009B6F67" w:rsidTr="009B6F67">
        <w:trPr>
          <w:gridBefore w:val="1"/>
          <w:wBefore w:w="175" w:type="dxa"/>
          <w:trHeight w:val="94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2 396,6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1 220,8</w:t>
            </w:r>
          </w:p>
        </w:tc>
      </w:tr>
      <w:tr w:rsidR="009B6F67" w:rsidTr="009B6F67">
        <w:trPr>
          <w:gridBefore w:val="1"/>
          <w:wBefore w:w="175" w:type="dxa"/>
          <w:trHeight w:val="94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35 571,2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38 186,0</w:t>
            </w:r>
          </w:p>
        </w:tc>
      </w:tr>
      <w:tr w:rsidR="009B6F67" w:rsidTr="009B6F67">
        <w:trPr>
          <w:gridBefore w:val="1"/>
          <w:wBefore w:w="175" w:type="dxa"/>
          <w:trHeight w:val="1746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35 571,2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37 747,8</w:t>
            </w:r>
          </w:p>
        </w:tc>
      </w:tr>
      <w:tr w:rsidR="009B6F67" w:rsidTr="009B6F67">
        <w:trPr>
          <w:gridBefore w:val="1"/>
          <w:wBefore w:w="175" w:type="dxa"/>
          <w:trHeight w:val="168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0,3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437,9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ПЛАТЕЖИ ПРИ ПОЛЬЗОВАНИИ ПРИРОДНЫМИ РЕСУРСАМИ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6 002,0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1 642,5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Плата за негативное воздействие на окружающую среду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6 002,0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1 642,5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762,7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Доходы от оказания платных услуг (работ)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57,0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Доходы от компенсации затрат государства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705,7</w:t>
            </w:r>
          </w:p>
        </w:tc>
      </w:tr>
      <w:tr w:rsidR="009B6F67" w:rsidTr="009B6F67">
        <w:trPr>
          <w:gridBefore w:val="1"/>
          <w:wBefore w:w="175" w:type="dxa"/>
          <w:trHeight w:val="341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ДОХОДЫ ОТ ПРОДАЖИ МАТЕРИАЛЬНЫХ И НЕМАТЕРИАЛЬНЫХ АКТИВОВ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822,0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3 215,5</w:t>
            </w:r>
          </w:p>
        </w:tc>
      </w:tr>
      <w:tr w:rsidR="009B6F67" w:rsidTr="009B6F67">
        <w:trPr>
          <w:gridBefore w:val="1"/>
          <w:wBefore w:w="175" w:type="dxa"/>
          <w:trHeight w:val="689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822,0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825,9</w:t>
            </w:r>
          </w:p>
        </w:tc>
      </w:tr>
      <w:tr w:rsidR="009B6F67" w:rsidTr="009B6F67">
        <w:trPr>
          <w:gridBefore w:val="1"/>
          <w:wBefore w:w="175" w:type="dxa"/>
          <w:trHeight w:val="689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622,8</w:t>
            </w:r>
          </w:p>
        </w:tc>
      </w:tr>
      <w:tr w:rsidR="009B6F67" w:rsidTr="009B6F67">
        <w:trPr>
          <w:gridBefore w:val="1"/>
          <w:wBefore w:w="175" w:type="dxa"/>
          <w:trHeight w:val="712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1 766,8</w:t>
            </w:r>
          </w:p>
        </w:tc>
      </w:tr>
      <w:tr w:rsidR="009B6F67" w:rsidTr="009B6F67">
        <w:trPr>
          <w:gridBefore w:val="1"/>
          <w:wBefore w:w="175" w:type="dxa"/>
          <w:trHeight w:val="557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ШТРАФЫ, САНКЦИИ, ВОЗМЕЩЕНИЕ УЩЕРБА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572,0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412,3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 xml:space="preserve">Административные штрафы, установленные Кодексом Российской Федерации об административных </w:t>
            </w:r>
            <w:r>
              <w:lastRenderedPageBreak/>
              <w:t>правонарушениях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lastRenderedPageBreak/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266,9</w:t>
            </w:r>
          </w:p>
        </w:tc>
      </w:tr>
      <w:tr w:rsidR="009B6F67" w:rsidTr="009B6F67">
        <w:trPr>
          <w:gridBefore w:val="1"/>
          <w:wBefore w:w="175" w:type="dxa"/>
          <w:trHeight w:val="94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6F67" w:rsidRDefault="009B6F67">
            <w:r>
              <w:lastRenderedPageBreak/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572,0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122,6</w:t>
            </w:r>
          </w:p>
        </w:tc>
      </w:tr>
      <w:tr w:rsidR="009B6F67" w:rsidTr="009B6F67">
        <w:trPr>
          <w:gridBefore w:val="1"/>
          <w:wBefore w:w="175" w:type="dxa"/>
          <w:trHeight w:val="473"/>
        </w:trPr>
        <w:tc>
          <w:tcPr>
            <w:tcW w:w="6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67" w:rsidRDefault="009B6F67">
            <w:r>
              <w:t>Платежи в целях возмещения причиненного ущерба (убытков)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B6F67" w:rsidRDefault="009B6F67">
            <w:pPr>
              <w:jc w:val="right"/>
            </w:pPr>
            <w:r>
              <w:t>205,0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Платежи, уплачиваемые в целях возмещения вреда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-182,2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ПРОЧИЕ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1 390,6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Невыясненные поступления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-9,6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Прочие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1 095,7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Инициативные платежи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304,5</w:t>
            </w:r>
          </w:p>
        </w:tc>
      </w:tr>
      <w:tr w:rsidR="009B6F67" w:rsidTr="009B6F67">
        <w:trPr>
          <w:gridBefore w:val="1"/>
          <w:wBefore w:w="175" w:type="dxa"/>
          <w:trHeight w:val="367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БЕЗВОЗМЕЗДНЫЕ ПОСТУПЛЕНИЯ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2 502 360,6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1 273 137,1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2 502 360,6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1 275 153,2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268 270,3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134 136,0</w:t>
            </w:r>
          </w:p>
        </w:tc>
      </w:tr>
      <w:tr w:rsidR="009B6F67" w:rsidTr="009B6F67">
        <w:trPr>
          <w:gridBefore w:val="1"/>
          <w:wBefore w:w="175" w:type="dxa"/>
          <w:trHeight w:val="42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265 754,6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88 415,5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1 857 331,0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992 861,0</w:t>
            </w:r>
          </w:p>
        </w:tc>
      </w:tr>
      <w:tr w:rsidR="009B6F67" w:rsidTr="009B6F67">
        <w:trPr>
          <w:gridBefore w:val="1"/>
          <w:wBefore w:w="175" w:type="dxa"/>
          <w:trHeight w:val="509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Иные межбюджетные трансферты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111 004,7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59 740,7</w:t>
            </w:r>
          </w:p>
        </w:tc>
      </w:tr>
      <w:tr w:rsidR="009B6F67" w:rsidTr="009B6F67">
        <w:trPr>
          <w:gridBefore w:val="1"/>
          <w:wBefore w:w="175" w:type="dxa"/>
          <w:trHeight w:val="1124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-2,0</w:t>
            </w:r>
          </w:p>
        </w:tc>
      </w:tr>
      <w:tr w:rsidR="009B6F67" w:rsidTr="009B6F67">
        <w:trPr>
          <w:gridBefore w:val="1"/>
          <w:wBefore w:w="175" w:type="dxa"/>
          <w:trHeight w:val="1124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-2 014,1</w:t>
            </w:r>
          </w:p>
        </w:tc>
      </w:tr>
      <w:tr w:rsidR="009B6F67" w:rsidTr="009B6F67">
        <w:trPr>
          <w:gridBefore w:val="1"/>
          <w:wBefore w:w="175" w:type="dxa"/>
          <w:trHeight w:val="1124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-2 014,1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Расходы бюджета - всего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3 769 881,0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1 706 748,8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6F67" w:rsidRDefault="009B6F67">
            <w:r>
              <w:t>ОБЩЕГОСУДАРСТВЕННЫЕ ВОПРОСЫ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355 758,3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132 737,0</w:t>
            </w:r>
          </w:p>
        </w:tc>
      </w:tr>
      <w:tr w:rsidR="009B6F67" w:rsidTr="009B6F67">
        <w:trPr>
          <w:gridBefore w:val="1"/>
          <w:wBefore w:w="175" w:type="dxa"/>
          <w:trHeight w:val="1260"/>
        </w:trPr>
        <w:tc>
          <w:tcPr>
            <w:tcW w:w="6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67" w:rsidRDefault="009B6F67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B6F67" w:rsidRDefault="009B6F67">
            <w:pPr>
              <w:jc w:val="right"/>
            </w:pPr>
            <w:r>
              <w:t>14 665,6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B6F67" w:rsidRDefault="009B6F67">
            <w:pPr>
              <w:jc w:val="right"/>
            </w:pPr>
            <w:r>
              <w:t>5 631,7</w:t>
            </w:r>
          </w:p>
        </w:tc>
      </w:tr>
      <w:tr w:rsidR="009B6F67" w:rsidTr="009B6F67">
        <w:trPr>
          <w:gridBefore w:val="1"/>
          <w:wBefore w:w="175" w:type="dxa"/>
          <w:trHeight w:val="1126"/>
        </w:trPr>
        <w:tc>
          <w:tcPr>
            <w:tcW w:w="6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91 042,2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34 007,7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Судебная система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149,0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149,0</w:t>
            </w:r>
          </w:p>
        </w:tc>
      </w:tr>
      <w:tr w:rsidR="009B6F67" w:rsidTr="009B6F67">
        <w:trPr>
          <w:gridBefore w:val="1"/>
          <w:wBefore w:w="175" w:type="dxa"/>
          <w:trHeight w:val="94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43 936,2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15 953,7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Резервные фонды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15 910,1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Другие общегосударственные вопросы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190 055,2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76 994,9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30 499,2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14 663,1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Гражданская оборона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30 499,2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14 663,1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НАЦИОНАЛЬНАЯ ЭКОНОМИКА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321 569,2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93 114,3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Топливно-энергетический комплекс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66 581,3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20 162,7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Сельское хозяйство и рыболовство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4 217,1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1 862,3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Водное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2 545,0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1 008,0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Транспорт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2 860,2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Дорожное хозяйство (дорожные фонды)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242 515,6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69 393,2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Другие вопросы в области национальной экономики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2 850,0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688,1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ЖИЛИЩНО-КОММУНАЛЬНОЕ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136 606,9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23 114,0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Жилищное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3 740,4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410,1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Коммунальное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115 563,8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17 630,4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Благоустройство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17 302,7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5 073,5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1 938 809,7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950 583,0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Дошкольное 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661 443,2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287 918,7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Общее 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1 146 987,6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604 755,2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Дополнительное образование детей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92 810,1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42 502,7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1 080,2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293,7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Молодежная политика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1 581,4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883,9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Другие вопросы в области образования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34 907,2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14 228,8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6F67" w:rsidRDefault="009B6F67">
            <w:r>
              <w:t>КУЛЬТУРА, КИНЕМАТОГРАФИЯ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125 816,8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52 916,4</w:t>
            </w:r>
          </w:p>
        </w:tc>
      </w:tr>
      <w:tr w:rsidR="009B6F67" w:rsidTr="009B6F67">
        <w:trPr>
          <w:gridBefore w:val="1"/>
          <w:wBefore w:w="175" w:type="dxa"/>
          <w:trHeight w:val="350"/>
        </w:trPr>
        <w:tc>
          <w:tcPr>
            <w:tcW w:w="6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67" w:rsidRDefault="009B6F67">
            <w:r>
              <w:t>Культура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B6F67" w:rsidRDefault="009B6F67">
            <w:pPr>
              <w:jc w:val="right"/>
            </w:pPr>
            <w:r>
              <w:t>113 769,8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B6F67" w:rsidRDefault="009B6F67">
            <w:pPr>
              <w:jc w:val="right"/>
            </w:pPr>
            <w:r>
              <w:t>46 688,2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Другие вопросы в области культуры, кинематографии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12 047,0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6 228,2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ЗДРАВООХРАНЕНИЕ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6 991,0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3 292,1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Стационарная медицинская помощь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5 881,3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2 880,4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Другие вопросы в области здравоохранения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1 109,7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411,7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СОЦИАЛЬНАЯ ПОЛИТИКА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639 472,8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366 070,1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Пенсионное обеспечение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5 510,5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2 909,9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Социальное обслуживание населения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132 433,6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68 907,4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Социальное обеспечение населения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230 827,4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129 248,7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Охрана семьи и детства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227 991,8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147 708,4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42 709,5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17 295,7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ФИЗИЧЕСКАЯ КУЛЬТУРА И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74 443,5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2 707,2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Массовый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74 443,5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2 707,2</w:t>
            </w:r>
          </w:p>
        </w:tc>
      </w:tr>
      <w:tr w:rsidR="009B6F67" w:rsidTr="009B6F67">
        <w:trPr>
          <w:gridBefore w:val="1"/>
          <w:wBefore w:w="175" w:type="dxa"/>
          <w:trHeight w:val="630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139 913,6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67 551,6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6F67" w:rsidRDefault="009B6F67"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135 102,1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67 551,6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6F67" w:rsidRDefault="009B6F67">
            <w:r>
              <w:t>Иные дотации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4 811,5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0,0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6F67" w:rsidRDefault="009B6F67">
            <w:r>
              <w:t>Результат исполнения бюджета (дефицит / профицит)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-163 230,9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182 119,0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6F67" w:rsidRDefault="009B6F67">
            <w:r>
              <w:t>Изменение остатков средств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- 163 230,9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182 119,0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6F67" w:rsidRDefault="009B6F67">
            <w: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-3 777 534,1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-1 900 698,4</w:t>
            </w:r>
          </w:p>
        </w:tc>
      </w:tr>
      <w:tr w:rsidR="009B6F67" w:rsidTr="009B6F67">
        <w:trPr>
          <w:gridBefore w:val="1"/>
          <w:wBefore w:w="175" w:type="dxa"/>
          <w:trHeight w:val="315"/>
        </w:trPr>
        <w:tc>
          <w:tcPr>
            <w:tcW w:w="6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6F67" w:rsidRDefault="009B6F67">
            <w: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3 940 765,0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B6F67" w:rsidRDefault="009B6F67">
            <w:pPr>
              <w:jc w:val="right"/>
            </w:pPr>
            <w:r>
              <w:t>1 718 579,4</w:t>
            </w:r>
          </w:p>
        </w:tc>
      </w:tr>
    </w:tbl>
    <w:p w:rsidR="009B6F67" w:rsidRDefault="009B6F67" w:rsidP="009B6F67">
      <w:pPr>
        <w:ind w:left="709"/>
        <w:rPr>
          <w:sz w:val="20"/>
        </w:rPr>
      </w:pPr>
    </w:p>
    <w:p w:rsidR="009B6F67" w:rsidRDefault="009B6F67" w:rsidP="007D70F5">
      <w:pPr>
        <w:ind w:left="709"/>
        <w:rPr>
          <w:sz w:val="20"/>
        </w:rPr>
      </w:pPr>
    </w:p>
    <w:sectPr w:rsidR="009B6F67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63BCF"/>
    <w:rsid w:val="00492130"/>
    <w:rsid w:val="00643456"/>
    <w:rsid w:val="006905F0"/>
    <w:rsid w:val="006D7F66"/>
    <w:rsid w:val="006E6635"/>
    <w:rsid w:val="00787A8D"/>
    <w:rsid w:val="007D70F5"/>
    <w:rsid w:val="007E2DCE"/>
    <w:rsid w:val="008D4FC0"/>
    <w:rsid w:val="00935446"/>
    <w:rsid w:val="009B6F67"/>
    <w:rsid w:val="009C692A"/>
    <w:rsid w:val="00A73664"/>
    <w:rsid w:val="00B26096"/>
    <w:rsid w:val="00B4385E"/>
    <w:rsid w:val="00B54DAB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1999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2026-07-20T10:18:00Z</dcterms:created>
  <dcterms:modified xsi:type="dcterms:W3CDTF">2026-07-20T10:21:00Z</dcterms:modified>
</cp:coreProperties>
</file>