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Настоящим уведомлением отдел по сельскому хозяйству и перерабатывающей промышленности Администрации Октябрьского района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Ростовская область, Октябрьский район р.п. Каменоломни, ул.40-лет Октября, 80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alkubich@yandex.ru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«16» февраля 2026 г. по «20» февраля 2026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Roboto+Condensed;sans-serif;Verdana;Arial"/>
          <w:bCs w:val="false"/>
          <w:iCs w:val="false"/>
          <w:caps w:val="false"/>
          <w:smallCaps w:val="false"/>
          <w:color w:val="333333"/>
          <w:spacing w:val="0"/>
          <w:szCs w:val="21"/>
        </w:rPr>
        <w:t>﻿</w:t>
      </w:r>
      <w:r>
        <w:rPr>
          <w:rFonts w:cs="Roboto+Condensed;sans-serif;Verdana;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Главный специалист-финансист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отдела по сельскому хозяйству и перерабатывающей промышленности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Кубич Алена Владимировна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тел. 8 (86360)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  <w:lang w:eastAsia="ru-RU"/>
        </w:rPr>
        <w:t>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2-37-53.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«О порядке предоставления субсидии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предоставление субсидии сельскохозяйственным товаропроизводителям на поддержку элитного семеноводства на  финансовое обеспечение части затрат на поддержку элитного семеноводства.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Цели  регулирования   и  характеристика   соответствующих общественных отношений: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порядка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порядка предоставления субсидии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, круг лиц — сельскохозяйственные товаропроизводители (кроме граждан, ведущих личное подсобное хозяйство, и сельскохозяйственных кредитных потребительских кооперативов).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март 2025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90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консультаций: 25 февраля-1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марта 2026 года.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D63-B9EC-428A-84D0-529961AF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LibreOffice/25.8.5.2$Windows_X86_64 LibreOffice_project/9c8b85f387cc00a89945a79c9e6239f32e450ac2</Application>
  <AppVersion>15.0000</AppVersion>
  <Pages>2</Pages>
  <Words>344</Words>
  <Characters>2617</Characters>
  <CharactersWithSpaces>2952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2026-04-07T10:13:59Z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